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20C2" w14:textId="59854AFC" w:rsidR="00B750D0" w:rsidRDefault="00910FFA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Ivana Šestan</w:t>
      </w:r>
    </w:p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8325DD5" w14:textId="77777777" w:rsidR="00910FFA" w:rsidRDefault="00910FFA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2D3149D" w14:textId="77777777" w:rsidR="00910FFA" w:rsidRDefault="00910FFA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EC95744" w14:textId="77777777" w:rsidR="00910FFA" w:rsidRDefault="00910FFA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8568DA6" w14:textId="76CA6D20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t>KRITERIJI PRAĆENJA I OCJENJIVANJA</w:t>
      </w:r>
    </w:p>
    <w:p w14:paraId="1B84E8F5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4E9B5B3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4EC84CC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20AF47C0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7F6048B8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2BD2AEFC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4C8FC201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42126CA4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7DEA5F8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1392057F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63E989EA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115CB95E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2D3FF915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0A435B5F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14FC97" w14:textId="77777777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predmeta u 1.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212B05B9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0A874E05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03C8D80F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B155A71" w14:textId="77777777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14:paraId="0D3B74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E67A03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3CEA7F13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0E38D9E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4BCE00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2B96D028" w14:textId="77777777" w:rsidTr="00CC3D94">
        <w:tc>
          <w:tcPr>
            <w:tcW w:w="3969" w:type="dxa"/>
          </w:tcPr>
          <w:p w14:paraId="0B19C749" w14:textId="2DE70C8C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 xml:space="preserve">0  % – </w:t>
            </w:r>
            <w:r w:rsidR="005011E5">
              <w:rPr>
                <w:rFonts w:cstheme="minorHAnsi"/>
                <w:sz w:val="24"/>
                <w:szCs w:val="24"/>
              </w:rPr>
              <w:t>49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6FEE4A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D49ECF7" w14:textId="77777777" w:rsidTr="00CC3D94">
        <w:tc>
          <w:tcPr>
            <w:tcW w:w="3969" w:type="dxa"/>
          </w:tcPr>
          <w:p w14:paraId="53BC612D" w14:textId="198AAD69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</w:t>
            </w:r>
            <w:r w:rsidR="005011E5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 - </w:t>
            </w:r>
            <w:r w:rsidR="009022A8">
              <w:rPr>
                <w:rFonts w:cstheme="minorHAnsi"/>
                <w:sz w:val="24"/>
                <w:szCs w:val="24"/>
              </w:rPr>
              <w:t>60</w:t>
            </w:r>
            <w:r w:rsidRPr="00E401B9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7CE8E298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16EDABD4" w14:textId="77777777" w:rsidTr="00CC3D94">
        <w:tc>
          <w:tcPr>
            <w:tcW w:w="3969" w:type="dxa"/>
          </w:tcPr>
          <w:p w14:paraId="68146A10" w14:textId="3114BBD9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</w:t>
            </w:r>
            <w:r w:rsidR="009022A8"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 xml:space="preserve"> % - 7</w:t>
            </w:r>
            <w:r w:rsidR="005011E5"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7235D9B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6D761060" w14:textId="77777777" w:rsidTr="00CC3D94">
        <w:tc>
          <w:tcPr>
            <w:tcW w:w="3969" w:type="dxa"/>
          </w:tcPr>
          <w:p w14:paraId="36E5AAF9" w14:textId="20797585" w:rsidR="006D0648" w:rsidRPr="00E401B9" w:rsidRDefault="005011E5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3DCECD3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48A9B054" w14:textId="77777777" w:rsidTr="00CC3D94">
        <w:tc>
          <w:tcPr>
            <w:tcW w:w="3969" w:type="dxa"/>
          </w:tcPr>
          <w:p w14:paraId="655F15C7" w14:textId="482483D1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5011E5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BD36A8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30DE5BB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7E1D4D85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533F2FC" w14:textId="77777777" w:rsidR="009162E1" w:rsidRDefault="009162E1" w:rsidP="00997EE6">
      <w:pPr>
        <w:jc w:val="center"/>
        <w:rPr>
          <w:rFonts w:cstheme="minorHAnsi"/>
          <w:b/>
          <w:sz w:val="28"/>
        </w:rPr>
      </w:pPr>
    </w:p>
    <w:p w14:paraId="74FD7733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3AD2CE92" w14:textId="77777777" w:rsidR="00614DA8" w:rsidRDefault="00614DA8" w:rsidP="00997EE6">
      <w:pPr>
        <w:jc w:val="center"/>
        <w:rPr>
          <w:rFonts w:cstheme="minorHAnsi"/>
          <w:b/>
          <w:sz w:val="28"/>
        </w:rPr>
      </w:pPr>
    </w:p>
    <w:p w14:paraId="444B985F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3214C7B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F7FC79A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4192C4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04C43E4B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77967405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61EDED8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7FBE753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48A38DA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457E3561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15D2B1CB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4EFB6D4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1E9BD69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83651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14:paraId="5ACA438D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1C8E5F67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1CEEAA78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B0E6BFA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43511A01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195F7D72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7F5C3329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0F23A74E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65D6151B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60F4885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20207D01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6856B3" w14:textId="77777777" w:rsidR="00614DA8" w:rsidRPr="009162E1" w:rsidRDefault="00614DA8" w:rsidP="00614DA8">
      <w:pPr>
        <w:pStyle w:val="paragraph"/>
        <w:textAlignment w:val="baseline"/>
        <w:rPr>
          <w:rFonts w:ascii="Calibri" w:hAnsi="Calibri" w:cs="Calibri"/>
          <w:szCs w:val="22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</w:t>
            </w: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Greške u intonaciji kao i netočan poredak riječi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zadanim smjernicama točno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intonira rečenicu s obzirom na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Spretno, samostalno i točno intonira rečenicu s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; sluša i 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ponavlja izgovor glasova i čestih riječi te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Nakon višekratnog i učestalog ponavljanja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ponavlja izgovor glasova i čestih riječi te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izgovara učestale glasove i riječi te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izgovora glasove i riječi hrvatskoga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kraće riječi i rečenice metodom slovkanja.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 određene glasove  s odgovarajućim slovima čineći greške;  razlikuje neka slova od drugih znakova; povezuje glasove i slova u cjelovitu riječ, a riječi u 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Većinom povezuje glas s odgovarajućim slovom te razlikuje slova od drugih znakova; povezuje glasove i slova u cjelovitu riječ, a riječi u rečenicu uz povremena slovkanja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velika i mala slova školskoga formalnog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Griješi u pisanju velikih i malih slova školskog formalnog pisma jer ne poznaje sva usvojena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ističe pisanje velikog početnog slova: prva riječ u rečenici, vlastita imena i prezimena ljudi i imena 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Metodom pokušaja i pogrešaka piše veliko početno slovo u rečenici, imenima i prezimenima ljudi te 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Ističe pisanje velikog početnog slova (prva riječ u rečenici, vlastita imena i prezimena ljudi i imena naselja ili mjesta u užem okružju) 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Promatrajući primjere samostalno donosi pravopisna pravila za pisanje velikog početnog slova (prva riječ u rečenici, vlastita imena i prezimena 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nezamjetne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poznavajući abecedni 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dječjem rječniku poznavajući abecedni poredak riječi i čita s razumijevanjem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djelomično poznavajući abecedni poredak riječi. Čita  slovkanjem objašnjenje značenja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poznavajući abecedni poredak riječi čineći manje greške i relativno uspješno čita s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poznavajući abecedni poredak riječi i čita s razumijevanjem objašnjenje značenja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poznavajući abecedni poredak riječi i čita s razumijevanjem objašnjenje značenja riječi te povezuje novo sa već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glasovnu 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 uz upute i primjere; 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glasovnu strukturu riječi; uočava 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Pravovremeno i samostalno prepoznaje glasovnu strukturu riječi; 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izražava mišljenje o 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Potaknut mišljenjima vršnjaka slobodniji je u izražavanju vlastitog mišljenja o događajima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zražava vlastito mišljenje o događajima u priči i postupcima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priču, pjesmu, zagonetku i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prepoznaje priču, pjesmu, </w:t>
            </w: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dodatna pitanja i primjere prepoznaje priču, pjesmu, </w:t>
            </w: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priču, pjesmu, zagonetku i igrokaz prema obliku i razlikuje ih te rado stvara i svoje navedene </w:t>
            </w: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pročitanu 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  <w:shd w:val="clear" w:color="auto" w:fill="auto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slikopriče;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sluša ili samostalno čita kraće tekstove u književnim i zabavno-poučnim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nepostojanu pažnju sluša kraće tekstove u književnim i zabavno-poučnim časopisima za </w:t>
            </w: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kraće tekstove u književnim i zabavno-poučnim časopisima za djecu povezujući </w:t>
            </w: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i o </w:t>
            </w: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7BDAEA1A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1853DEBC" w14:textId="77777777" w:rsidR="007329B7" w:rsidRDefault="007329B7" w:rsidP="007329B7">
      <w:pPr>
        <w:rPr>
          <w:rFonts w:cstheme="minorHAnsi"/>
          <w:sz w:val="24"/>
          <w:szCs w:val="28"/>
        </w:rPr>
      </w:pPr>
    </w:p>
    <w:p w14:paraId="649497E7" w14:textId="77777777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poučavanje predmeta Likovna kultura u 1. razredu osnovne škole organizira se kao niz manjih ili većih cjelina vezanih uz zadane i izborne teme.</w:t>
      </w:r>
    </w:p>
    <w:p w14:paraId="33946F4E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607EDCE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7DEC5989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6F33C6A4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305874BF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4C837DE8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6B8201CC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758BEB1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13C7A90E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6DAD38C1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14:paraId="29672692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14:paraId="753F7C96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14:paraId="1F9B869F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14:paraId="2C884C9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14:paraId="03F00E7C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14:paraId="2B6870A8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14:paraId="60B6AD0E" w14:textId="77777777" w:rsidR="007329B7" w:rsidRPr="006414AD" w:rsidRDefault="007329B7" w:rsidP="00A61CF5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14:paraId="5B19CBA0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07A5954A" w14:textId="77777777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765CFB64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68251E6A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14:paraId="730CC8B5" w14:textId="77777777" w:rsidR="007329B7" w:rsidRPr="006414AD" w:rsidRDefault="007329B7" w:rsidP="00A61CF5">
      <w:pPr>
        <w:pStyle w:val="Odlomakpopisa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14:paraId="4C7CBFCA" w14:textId="77777777" w:rsidR="007329B7" w:rsidRPr="006414AD" w:rsidRDefault="007329B7" w:rsidP="00A61CF5">
      <w:pPr>
        <w:pStyle w:val="Odlomakpopisa"/>
        <w:numPr>
          <w:ilvl w:val="0"/>
          <w:numId w:val="24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prostorno-plastički: glina, glinamol, papir-plastika, ambalaža i drugi materijali.</w:t>
      </w:r>
    </w:p>
    <w:p w14:paraId="68D681EC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84316E6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14:paraId="10D23911" w14:textId="77777777" w:rsidR="007329B7" w:rsidRPr="006414AD" w:rsidRDefault="007329B7" w:rsidP="007329B7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14:paraId="6BE40DE6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14:paraId="26F630C2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14:paraId="4DB9543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14:paraId="59E0EF10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14:paraId="25402948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14:paraId="297C7B4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14:paraId="279267FA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14:paraId="36ABAE19" w14:textId="77777777" w:rsidR="007329B7" w:rsidRPr="006414AD" w:rsidRDefault="007329B7" w:rsidP="00A61CF5">
      <w:pPr>
        <w:pStyle w:val="Odlomakpopisa"/>
        <w:numPr>
          <w:ilvl w:val="0"/>
          <w:numId w:val="27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lastRenderedPageBreak/>
        <w:t>lutkarstvo.</w:t>
      </w:r>
    </w:p>
    <w:p w14:paraId="7342CB79" w14:textId="77777777" w:rsidR="007329B7" w:rsidRPr="006414AD" w:rsidRDefault="007329B7" w:rsidP="007329B7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14:paraId="6484CB5A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557A3933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CF13CE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5DB97E65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3032CFCB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285A7630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174E84E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6D00BC25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503EC00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125A2F5B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28D762DE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69F8A9F3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039CBE2D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F38713B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235CB6B5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36DA022A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lastRenderedPageBreak/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491D8E0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4A39FE7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upoznaje pojmove te forme izražavanja i oblikovanja 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 koristi crtačke, slikarske, prostorno plastičke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crtačke, slikarske, prostorno plastičke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i sigurno koristi crtačke, slikarske, prostorno plastičke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barem 1 skulpturu u javnom prostoru i elemente grada/sela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upoznaje i istražuje skulpture u javnom prostoru i elemente grada/sela (arhitektura i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jednostavne vizualne znakove i poruke u svojoj okolini i oblikuje jednostavnu vizualnu 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4D89AA10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2E96EADA" w14:textId="77777777" w:rsidTr="006D70D8">
        <w:tc>
          <w:tcPr>
            <w:tcW w:w="426" w:type="dxa"/>
            <w:shd w:val="clear" w:color="auto" w:fill="A8D08D" w:themeFill="accent6" w:themeFillTint="99"/>
          </w:tcPr>
          <w:p w14:paraId="354E016D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0C9995BB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B11E65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78BDCB40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42B5302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D1C37D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1993B171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6EBC8C6D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14:paraId="52642CA1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6811003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F42351D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9FC926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498906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28BB21D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2E0E9A5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142BB0B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780E4F8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580D4F7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11AEB62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68E4D1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4C30F05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0C80B989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415A6947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44859E9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5521B98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D681F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05450DD2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52FD5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70C60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10CD01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3C808D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84339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407CC1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6A2DFEF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019A93B6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22216205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75BA166E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7EFB83A3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11F60E9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79B3D0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98124E4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3A70EF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081A9526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7ED88B5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5467C108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2B65441F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66F32889" w14:textId="77777777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14:paraId="1966F05B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1D1F8BB5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E3F5E84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019DDE5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lastRenderedPageBreak/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3B628244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4D2C5001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06266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5EFB464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8C41956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460CE8A2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8457A5F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1C748174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Temeljem slušanja uspoređuje glazbeno-izražajne sastavnice u različitim skladbama isključivo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samostalno uspoređuje glazbeno-izražajne sastavnice u različitim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1CE2DC97" w14:textId="77777777" w:rsidR="007A4C51" w:rsidRDefault="007A4C51" w:rsidP="007A4C51">
      <w:pPr>
        <w:rPr>
          <w:sz w:val="24"/>
          <w:szCs w:val="24"/>
        </w:rPr>
      </w:pPr>
    </w:p>
    <w:p w14:paraId="463545BA" w14:textId="77777777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F1151D7" w14:textId="77777777" w:rsidTr="007A4C51">
        <w:tc>
          <w:tcPr>
            <w:tcW w:w="425" w:type="dxa"/>
            <w:shd w:val="clear" w:color="auto" w:fill="A8D08D" w:themeFill="accent6" w:themeFillTint="99"/>
          </w:tcPr>
          <w:p w14:paraId="04C0C53E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725B98B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3EFF73D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90C99A8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236FC0F6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114A6BAC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01EEF1DE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067D9354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A89B87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30774504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A9F675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04D74D8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368820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1F657AC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324CEE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062187BA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4F6092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6F2972C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639E487A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4A4F53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04FA7E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6AE867F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70E9208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3A92DFD9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FA24FD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0DDB3F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44CC6F1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078F3B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5B2A11C3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77F849B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0B30F68F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706F6FD6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E22652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890095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18C3765F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DA0E897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4107A6A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5D91E8B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41992186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AA7ED3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453C0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061C2CC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0B19DBBE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7A0FAD09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466E2822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0B066F8E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10F24D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3AA0EDD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4AD269C4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0530514F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29ABF3A8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44AF3119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0FFB6759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3AB87DF3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52C4AB18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5DE48D10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24047462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59F197B6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2455FF3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122D334F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B160C0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47D765F1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2D6EB7D4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B8EF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074DCCDF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4EB92F53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3159525A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4AB9204F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3B1959D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5697FFC4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203BF5A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74C7770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0B8EE71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0445452A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707B18DF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3D762131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77E42A24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0731A30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16476E5A" w14:textId="77777777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konkreta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Objašnjava vezu između vrijednosti znamenaka i 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vrijednosti broja prema zadanom 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redoslijed i određuje ga 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Uočava numerički redoslijed koji djelomično točno 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Rednim brojevima prikazuje redoslijed i 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20 koristeći se konkretima.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Primjenjuje svojstva komutativnosti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komutativnosti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na različite načine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zamjenu mjesta i združivanje pribrojnika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komutativnosti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 koristeći konkrete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kuglu, valjak, kocku,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Imenuje i opisuje kuglu, valjak, kocku,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 imenuje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Izdvaja, imenuje i uspoređuje geometrijska tijela i likove predstavljene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Ravne 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plohe geometrijskih tijela 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Samostalno izdvaja ravne i zakrivljene plohe s 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kunama i znakom jedinične 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 uz 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akom jedinične vrijednosti kuna, shvaća vrijednost novca, 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Skupove uspoređuje tek nakon skretanja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kriterij po kojemu su članovi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6BCB389C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6E47B73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504CFDF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34B7DB1A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0C5D3D47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7004958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lastRenderedPageBreak/>
        <w:t>Energija (oznaka D).</w:t>
      </w:r>
    </w:p>
    <w:p w14:paraId="7AEA0402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7EA8AD25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28075E5A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3DBB6A8D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59F3847A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6E2E33A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7D81819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C563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41A2225E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040D3C8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AD6D7DD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6F23F932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521BF10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14:paraId="14FB12D5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7F0E3510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5F16B626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0556BC14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6B7A10C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44E35187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cjelinu čine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 uočava dio cjeline te mogućnost dijeljenja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cjelinu čine dijelovi, da se različite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otkriva da cjelinu čine dijelovi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osjetilima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Otkriva da se tvari 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Otkriva da se tvari mogu miješati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izvodi pokuse kojima otkriva mogućnosti miješanja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Imenuje samo glavne dnevne obroke uz navođenje. Prema zadanim primjerima uviđa važnost i povezanost održavanja 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predlaže poželjne primjere dnevnih obroka. Uviđa važnost redovitog održavanja osobne čistoće i tjelovježbe te 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i imenuje doba dana, dane u 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učiteljevu pomoć ili za modelom određuje i imenuje dane u tjednu i godišnja doba, opaža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dane u tjednu i godišnja doba uz poneka navođenja,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i imenuje doba dana, dane u tjednu i godišnja doba opažajući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Samostalno, točno i različitim smjerom nabraja dane u tjednu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organizaciju 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prepoznaje organizaciju prometa, ali još uvijek se ne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organizaciju prometa (promet, prometnica, pješaci,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Kreće se u poznatom prostoru (put od škole do kuće ili promet oko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primjenjuje bez dodatnih uputa dogovorena i upoznata </w:t>
            </w: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Opisuje svoje dužnosti prema zadanom primjeru (kućni red 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Navodi i opisuje svoje dužnosti u zajednicama kojima pripada te 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voj biljke,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Navodi vremenske prilike, rast i razvoj biljke, svoj rast i razvoj, ali teže samostalno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vremenske prilike, rast i razvoj biljke, svoj rast i razvoj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promjene u živoj prirodi oko sebe i svoj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lastRenderedPageBreak/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Razlikuje dan i noć te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dan i noć, prepoznaje neke aktivnosti s dobom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azlikuje dan i noć te povezuje doba dana s vlastitim i obiteljskim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i raščlanjuje vlastite i obiteljske obveze  i aktivnosti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Reda svoje obveze, aktivnosti, događaje i promjene u danu i/ili tjednu prikazujući ih na vremenskoj crti ili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Reda svoje obveze, aktivnosti, događaje i promjene u 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dodatne upute i pojednostavljene zadatke učenik 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prikazuje svoje obveze/događaje na vremenskoj crti i umnoj mapi prema unaprijed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prikazuje promjene i odnose dana i noći, dana u tjednu i godišnjih doba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lastRenderedPageBreak/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</w:t>
            </w:r>
            <w:r>
              <w:rPr>
                <w:rFonts w:eastAsia="Times New Roman" w:cstheme="minorHAnsi"/>
                <w:lang w:eastAsia="hr-HR"/>
              </w:rPr>
              <w:lastRenderedPageBreak/>
              <w:t xml:space="preserve">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Većinom se snalazi u neposrednom okružju doma i škole, s tim da je prometna pravila kojih se treba pridržavati potrebno svakodnevno ponavljati kako ih ne bi svaki put prepoznavao, ili poštivao uz pomoć,  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/predmeta u učionici, ali ga određuje isključivo prema sebi i prostoriji u kojoj se nalazi, ne predviđa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vrijednosti kao i posebnost i vrijednosti drugih osoba i zajednica kojima 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pripada; otkriva svoju ulogu u zajednici i povezanost s ostalim članovima s kojima je povezan događajima, interesima,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svoju posebnost i vrijednosti kao i posebnost i vrijednosti drugih 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tkriva svoju ulogu u zajednici i povezanost s ostalim članovima s kojima je povezan događajima, 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pravila, 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pravila, obavlja dužnosti te poznaje posljedice za 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pravila, obavlja dužnosti te poznaje posljedice za 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pravila, obavlja dužnosti te poznaje posljedice za 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Primjenjuje, objašnjava i zaključuje o pravilima i primjeni istih, obavlja 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Prepoznaje i opisuje opasnosti koje se mogu 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Opisuje opasnosti koje se mogu javiti pri nepravilnoj uporabi uređaja te imenuje 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 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prirodnim i društvenim pojavama, na neka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komentira prirodne i društvene pojave dovodeći u vezu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3D9030CC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5FACD7E7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04E391F0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29624F93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lastRenderedPageBreak/>
        <w:t>A) Kineziološka teorijska i motorička znanja (OŠ TZK A; SŠ TZK G A)</w:t>
      </w:r>
    </w:p>
    <w:p w14:paraId="3B937466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22E53729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4E81EC05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69486AA2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1A2FBB7F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438A72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7C71E0A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37C4642C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0443CF6B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3878F0C5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2B9988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751E0AAC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1C8C6432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0EC8171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1C2EBD7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482864C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0AE6C73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E8348E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D917B1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12B4C9C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2526EC2B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613EEBE3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6467DEE0" w14:textId="77777777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  <w:shd w:val="clear" w:color="auto" w:fill="auto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  <w:shd w:val="clear" w:color="auto" w:fill="auto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shd w:val="clear" w:color="auto" w:fill="auto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Uglavnom primjeren odnos prema prijateljima.</w:t>
            </w:r>
          </w:p>
        </w:tc>
        <w:tc>
          <w:tcPr>
            <w:tcW w:w="4374" w:type="dxa"/>
            <w:shd w:val="clear" w:color="auto" w:fill="auto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AB40F" w14:textId="77777777" w:rsidR="00397E57" w:rsidRDefault="00397E57" w:rsidP="00445146">
      <w:pPr>
        <w:rPr>
          <w:rFonts w:cstheme="minorHAnsi"/>
          <w:sz w:val="24"/>
          <w:szCs w:val="24"/>
        </w:rPr>
      </w:pPr>
    </w:p>
    <w:p w14:paraId="59DA4FBB" w14:textId="77777777" w:rsidR="003003B2" w:rsidRPr="003003B2" w:rsidRDefault="003003B2" w:rsidP="00445146">
      <w:pPr>
        <w:rPr>
          <w:rFonts w:cstheme="minorHAnsi"/>
          <w:b/>
          <w:sz w:val="24"/>
          <w:szCs w:val="24"/>
          <w:u w:val="single"/>
        </w:rPr>
      </w:pPr>
      <w:r w:rsidRPr="003003B2">
        <w:rPr>
          <w:rFonts w:cstheme="minorHAnsi"/>
          <w:b/>
          <w:sz w:val="24"/>
          <w:szCs w:val="24"/>
          <w:u w:val="single"/>
        </w:rPr>
        <w:t>Pripremno razdoblje:</w:t>
      </w:r>
    </w:p>
    <w:p w14:paraId="2731A030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Iva je u pripremnom školskom razdoblju pokazala zrelost, aktivnost i upornost. Izrazito je marljiva i predana školskim zadatcima koje ispunjava sa lakoćom i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</w:p>
    <w:p w14:paraId="35DB1074" w14:textId="77777777" w:rsidR="003003B2" w:rsidRDefault="003003B2" w:rsidP="003003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Niko je u pripremnom školskom razdoblju pokazao aktivnost i upornost. Marljiv je i i predan školskim zadatcima koje ispunjava sa lakoćom i djelomično uredno. Verbalne naputke prati bez poteškoća i dodatnih naputaka. </w:t>
      </w:r>
      <w:r w:rsidRPr="00040585">
        <w:rPr>
          <w:rFonts w:cstheme="minorHAnsi"/>
          <w:sz w:val="24"/>
          <w:szCs w:val="24"/>
        </w:rPr>
        <w:t>Izrazito uljudnoga ponašanja.</w:t>
      </w:r>
      <w:r>
        <w:rPr>
          <w:rFonts w:cstheme="minorHAnsi"/>
          <w:sz w:val="24"/>
          <w:szCs w:val="24"/>
        </w:rPr>
        <w:t xml:space="preserve"> Nadalje vježbati grafomotoriku.</w:t>
      </w:r>
    </w:p>
    <w:p w14:paraId="301302C4" w14:textId="77777777" w:rsidR="003003B2" w:rsidRDefault="003003B2" w:rsidP="004451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Leopold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Zadatke mu je potrebno individualno objasniti i stalno ga kontrolirati u radu. Pažnja mu je kratkotrajna i nestalna.</w:t>
      </w:r>
      <w:r w:rsidR="00431946">
        <w:rPr>
          <w:rFonts w:cstheme="minorHAnsi"/>
          <w:sz w:val="24"/>
          <w:szCs w:val="24"/>
        </w:rPr>
        <w:t xml:space="preserve"> Uljudnoga ponašanja, na satu ga je potrebno podsjećati na pravila komunikacije.</w:t>
      </w:r>
    </w:p>
    <w:p w14:paraId="645DDDC3" w14:textId="77777777" w:rsidR="00431946" w:rsidRDefault="00431946" w:rsidP="004319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Jerko je u pripremnom školsko</w:t>
      </w:r>
      <w:r w:rsidR="00496944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</w:t>
      </w:r>
      <w:r w:rsidR="00B6051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satu ga je potrebno podsjećati na pravila komunikacije.</w:t>
      </w:r>
      <w:r w:rsidR="00B6051A">
        <w:rPr>
          <w:rFonts w:cstheme="minorHAnsi"/>
          <w:sz w:val="24"/>
          <w:szCs w:val="24"/>
        </w:rPr>
        <w:t xml:space="preserve"> Teško kontrolira svoju veliku energiju koja ga povremeno ometa u izvršavanju nastavnih zadataka.</w:t>
      </w:r>
    </w:p>
    <w:p w14:paraId="00116367" w14:textId="77777777" w:rsidR="00496944" w:rsidRPr="003F09BD" w:rsidRDefault="007823D1" w:rsidP="00496944">
      <w:pPr>
        <w:rPr>
          <w:rFonts w:cstheme="minorHAnsi"/>
          <w:sz w:val="24"/>
          <w:szCs w:val="24"/>
        </w:rPr>
      </w:pPr>
      <w:r w:rsidRPr="003F09BD">
        <w:rPr>
          <w:rFonts w:cstheme="minorHAnsi"/>
          <w:sz w:val="24"/>
          <w:szCs w:val="24"/>
        </w:rPr>
        <w:t>Šimun</w:t>
      </w:r>
      <w:r w:rsidR="00496944" w:rsidRPr="003F09BD">
        <w:rPr>
          <w:rFonts w:cstheme="minorHAnsi"/>
          <w:sz w:val="24"/>
          <w:szCs w:val="24"/>
        </w:rPr>
        <w:t xml:space="preserve"> je u pripremnom školsko</w:t>
      </w:r>
      <w:r w:rsidRPr="003F09BD">
        <w:rPr>
          <w:rFonts w:cstheme="minorHAnsi"/>
          <w:sz w:val="24"/>
          <w:szCs w:val="24"/>
        </w:rPr>
        <w:t>m</w:t>
      </w:r>
      <w:r w:rsidR="00496944" w:rsidRPr="003F09BD">
        <w:rPr>
          <w:rFonts w:cstheme="minorHAnsi"/>
          <w:sz w:val="24"/>
          <w:szCs w:val="24"/>
        </w:rPr>
        <w:t xml:space="preserve"> razdoblju pokazao snalažljivost i komunikativnost. Zadane zadatke shvaća ali ga je potrebno često kontrolirati u radu. Pažnja mu je kratkotrajna i nestalna. Na satu ga je potrebno podsjećati na pravila komunikacije. Teško kontrolira svoju veliku energiju koja ga povremeno ometa u izvršavanju nastavnih zadataka.</w:t>
      </w:r>
    </w:p>
    <w:p w14:paraId="361F0690" w14:textId="77777777" w:rsidR="00AF0116" w:rsidRDefault="00AF0116" w:rsidP="00AF0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Toni je u pripremnom školskog razdoblju pokazao otvorenost i komunikativnost. Zadane zadatke shvaća ali ga je potrebno često kontrolirati u radu. Pažnja mu je kratkotrajna i nestalna. Na satu ga je potrebno podsjećati na pravila komunikacije. </w:t>
      </w:r>
    </w:p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12917" w14:textId="77777777" w:rsidR="00CE2306" w:rsidRDefault="00CE2306" w:rsidP="00394D17">
      <w:pPr>
        <w:spacing w:after="0" w:line="240" w:lineRule="auto"/>
      </w:pPr>
      <w:r>
        <w:separator/>
      </w:r>
    </w:p>
  </w:endnote>
  <w:endnote w:type="continuationSeparator" w:id="0">
    <w:p w14:paraId="586DEF33" w14:textId="77777777" w:rsidR="00CE2306" w:rsidRDefault="00CE2306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13875" w14:textId="77777777" w:rsidR="00CE2306" w:rsidRDefault="00CE2306" w:rsidP="00394D17">
      <w:pPr>
        <w:spacing w:after="0" w:line="240" w:lineRule="auto"/>
      </w:pPr>
      <w:r>
        <w:separator/>
      </w:r>
    </w:p>
  </w:footnote>
  <w:footnote w:type="continuationSeparator" w:id="0">
    <w:p w14:paraId="314CB900" w14:textId="77777777" w:rsidR="00CE2306" w:rsidRDefault="00CE2306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5440803">
    <w:abstractNumId w:val="25"/>
  </w:num>
  <w:num w:numId="2" w16cid:durableId="1420983852">
    <w:abstractNumId w:val="7"/>
  </w:num>
  <w:num w:numId="3" w16cid:durableId="1221598142">
    <w:abstractNumId w:val="0"/>
  </w:num>
  <w:num w:numId="4" w16cid:durableId="1493833713">
    <w:abstractNumId w:val="14"/>
  </w:num>
  <w:num w:numId="5" w16cid:durableId="680156510">
    <w:abstractNumId w:val="16"/>
  </w:num>
  <w:num w:numId="6" w16cid:durableId="422149196">
    <w:abstractNumId w:val="11"/>
  </w:num>
  <w:num w:numId="7" w16cid:durableId="1435247210">
    <w:abstractNumId w:val="20"/>
  </w:num>
  <w:num w:numId="8" w16cid:durableId="969749508">
    <w:abstractNumId w:val="10"/>
  </w:num>
  <w:num w:numId="9" w16cid:durableId="1879469621">
    <w:abstractNumId w:val="29"/>
  </w:num>
  <w:num w:numId="10" w16cid:durableId="1450782464">
    <w:abstractNumId w:val="26"/>
  </w:num>
  <w:num w:numId="11" w16cid:durableId="1441530305">
    <w:abstractNumId w:val="21"/>
  </w:num>
  <w:num w:numId="12" w16cid:durableId="2071079131">
    <w:abstractNumId w:val="27"/>
  </w:num>
  <w:num w:numId="13" w16cid:durableId="902447016">
    <w:abstractNumId w:val="19"/>
  </w:num>
  <w:num w:numId="14" w16cid:durableId="1141313091">
    <w:abstractNumId w:val="15"/>
  </w:num>
  <w:num w:numId="15" w16cid:durableId="823592427">
    <w:abstractNumId w:val="6"/>
  </w:num>
  <w:num w:numId="16" w16cid:durableId="43914596">
    <w:abstractNumId w:val="9"/>
  </w:num>
  <w:num w:numId="17" w16cid:durableId="240526447">
    <w:abstractNumId w:val="22"/>
  </w:num>
  <w:num w:numId="18" w16cid:durableId="314378403">
    <w:abstractNumId w:val="4"/>
  </w:num>
  <w:num w:numId="19" w16cid:durableId="986861202">
    <w:abstractNumId w:val="8"/>
  </w:num>
  <w:num w:numId="20" w16cid:durableId="1968853165">
    <w:abstractNumId w:val="5"/>
  </w:num>
  <w:num w:numId="21" w16cid:durableId="1678341152">
    <w:abstractNumId w:val="24"/>
  </w:num>
  <w:num w:numId="22" w16cid:durableId="785275071">
    <w:abstractNumId w:val="28"/>
  </w:num>
  <w:num w:numId="23" w16cid:durableId="704865163">
    <w:abstractNumId w:val="1"/>
  </w:num>
  <w:num w:numId="24" w16cid:durableId="1034308563">
    <w:abstractNumId w:val="18"/>
  </w:num>
  <w:num w:numId="25" w16cid:durableId="1496459185">
    <w:abstractNumId w:val="12"/>
  </w:num>
  <w:num w:numId="26" w16cid:durableId="1737625369">
    <w:abstractNumId w:val="13"/>
  </w:num>
  <w:num w:numId="27" w16cid:durableId="306784677">
    <w:abstractNumId w:val="2"/>
  </w:num>
  <w:num w:numId="28" w16cid:durableId="786583026">
    <w:abstractNumId w:val="3"/>
  </w:num>
  <w:num w:numId="29" w16cid:durableId="565379898">
    <w:abstractNumId w:val="17"/>
  </w:num>
  <w:num w:numId="30" w16cid:durableId="148053690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11E5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339C8"/>
    <w:rsid w:val="00835D2A"/>
    <w:rsid w:val="00862F17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22A8"/>
    <w:rsid w:val="00904D38"/>
    <w:rsid w:val="00910FFA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1F1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2306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15698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20734</Words>
  <Characters>118190</Characters>
  <Application>Microsoft Office Word</Application>
  <DocSecurity>0</DocSecurity>
  <Lines>984</Lines>
  <Paragraphs>277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Ivana Šestan</cp:lastModifiedBy>
  <cp:revision>4</cp:revision>
  <cp:lastPrinted>2019-08-28T17:14:00Z</cp:lastPrinted>
  <dcterms:created xsi:type="dcterms:W3CDTF">2024-10-13T12:19:00Z</dcterms:created>
  <dcterms:modified xsi:type="dcterms:W3CDTF">2024-10-13T12:27:00Z</dcterms:modified>
</cp:coreProperties>
</file>